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before="100" w:after="100" w:line="240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>Teen Depression- Clinical Management Flow Chart</w:t>
      </w:r>
    </w:p>
    <w:tbl>
      <w:tblPr>
        <w:tblW w:w="962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48"/>
        <w:gridCol w:w="3088"/>
        <w:gridCol w:w="3088"/>
      </w:tblGrid>
      <w:tr>
        <w:tblPrEx>
          <w:shd w:val="clear" w:color="auto" w:fill="ced7e7"/>
        </w:tblPrEx>
        <w:trPr>
          <w:trHeight w:val="643" w:hRule="atLeast"/>
        </w:trPr>
        <w:tc>
          <w:tcPr>
            <w:tcW w:type="dxa" w:w="3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No Depression or Mild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Score 0-4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Provide Reassurance and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Rescreen at indicated Intervals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Follow up 1 year/ prn symptoms</w:t>
            </w:r>
          </w:p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Mild Depression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Score 5-9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Patient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single" w:color="000000"/>
                <w:vertAlign w:val="baseline"/>
                <w:rtl w:val="0"/>
                <w:lang w:val="en-US"/>
              </w:rPr>
              <w:t>Counseled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for positive depression screening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  <w:lang w:val="en-US"/>
              </w:rPr>
              <w:t xml:space="preserve">List of Resources given to parents 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Follow up in 8-12  weeks</w:t>
            </w:r>
          </w:p>
        </w:tc>
      </w:tr>
      <w:tr>
        <w:tblPrEx>
          <w:shd w:val="clear" w:color="auto" w:fill="ced7e7"/>
        </w:tblPrEx>
        <w:trPr>
          <w:trHeight w:val="1942" w:hRule="atLeast"/>
        </w:trPr>
        <w:tc>
          <w:tcPr>
            <w:tcW w:type="dxa" w:w="3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Moderate Depression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Score 10-14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Patient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single" w:color="000000"/>
                <w:vertAlign w:val="baseline"/>
                <w:rtl w:val="0"/>
                <w:lang w:val="en-US"/>
              </w:rPr>
              <w:t xml:space="preserve">Counseled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/ Provider can choose to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single" w:color="000000"/>
                <w:vertAlign w:val="baseline"/>
                <w:rtl w:val="0"/>
                <w:lang w:val="en-US"/>
              </w:rPr>
              <w:t xml:space="preserve">Refer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for Psychiatric Evaluation due to Positive Screening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Mental Health Referral, Behaviorist,  Psychiatrist on call. PHN Referral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  <w:lang w:val="en-US"/>
              </w:rPr>
              <w:t xml:space="preserve">List of Resources given to parents  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Follow up in 2-4  weeks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</w:p>
        </w:tc>
      </w:tr>
      <w:tr>
        <w:tblPrEx>
          <w:shd w:val="clear" w:color="auto" w:fill="ced7e7"/>
        </w:tblPrEx>
        <w:trPr>
          <w:trHeight w:val="2262" w:hRule="atLeast"/>
        </w:trPr>
        <w:tc>
          <w:tcPr>
            <w:tcW w:type="dxa" w:w="3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Moderate Severe Depression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Score 15-19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Patient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single" w:color="000000"/>
                <w:vertAlign w:val="baseline"/>
                <w:rtl w:val="0"/>
                <w:lang w:val="en-US"/>
              </w:rPr>
              <w:t>Referred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for Psychiatric Evaluation due to Positive Screening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Consider Medication after phone consultation with Psychiatrist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Mental Health Referral, Behaviorist,  Psychiatrist on call. PHN Referral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vertAlign w:val="baseline"/>
                <w:rtl w:val="0"/>
                <w:lang w:val="en-US"/>
              </w:rPr>
              <w:t xml:space="preserve">List of Resources given to parents  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Follow up in 2 weeks</w:t>
            </w:r>
          </w:p>
        </w:tc>
      </w:tr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3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Severe Depression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Score 20-27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Patient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single" w:color="000000"/>
                <w:vertAlign w:val="baseline"/>
                <w:rtl w:val="0"/>
                <w:lang w:val="en-US"/>
              </w:rPr>
              <w:t>Referred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for Psychiatric Evaluation due to Positive Screening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Psychiatrist called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Initiated Medication after phone consultation with Psychiatrist</w:t>
            </w:r>
            <w:r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</w:rPr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Follow up in 2 weeks</w:t>
            </w:r>
          </w:p>
        </w:tc>
      </w:tr>
      <w:tr>
        <w:tblPrEx>
          <w:shd w:val="clear" w:color="auto" w:fill="ced7e7"/>
        </w:tblPrEx>
        <w:trPr>
          <w:trHeight w:val="2361" w:hRule="atLeast"/>
        </w:trPr>
        <w:tc>
          <w:tcPr>
            <w:tcW w:type="dxa" w:w="34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Psychotic or Suicidal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en-US"/>
              </w:rPr>
              <w:br w:type="textWrapping"/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before="100" w:after="100" w:line="240" w:lineRule="auto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Patient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single" w:color="000000"/>
                <w:vertAlign w:val="baseline"/>
                <w:rtl w:val="0"/>
                <w:lang w:val="en-US"/>
              </w:rPr>
              <w:t>Referred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for Psychiatric Evaluation due to Positive Screening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Psychiatrist called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  <w:p>
            <w:pPr>
              <w:pStyle w:val="Body"/>
              <w:bidi w:val="0"/>
              <w:spacing w:before="100" w:after="10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Referred to Crisis or Emergency Services (May include subsequent referral to Inpatient facility)</w:t>
            </w:r>
          </w:p>
        </w:tc>
        <w:tc>
          <w:tcPr>
            <w:tcW w:type="dxa" w:w="30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spacing w:before="100" w:after="100" w:line="240" w:lineRule="auto"/>
        <w:jc w:val="center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